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DF624" w14:textId="375E11F1" w:rsidR="00F61E4E" w:rsidRPr="00842545" w:rsidRDefault="00F61E4E" w:rsidP="00F61E4E">
      <w:pPr>
        <w:ind w:left="993" w:hanging="993"/>
        <w:jc w:val="both"/>
        <w:rPr>
          <w:rFonts w:ascii="Palatino Linotype" w:hAnsi="Palatino Linotype" w:cs="Times New Roman"/>
        </w:rPr>
      </w:pPr>
      <w:r>
        <w:rPr>
          <w:rFonts w:ascii="Palatino Linotype" w:hAnsi="Palatino Linotype" w:cs="Times New Roman"/>
          <w:b/>
          <w:color w:val="000000"/>
        </w:rPr>
        <w:t>Figure S1</w:t>
      </w:r>
      <w:r w:rsidRPr="00E65714">
        <w:rPr>
          <w:rFonts w:ascii="Palatino Linotype" w:hAnsi="Palatino Linotype" w:cs="Times New Roman"/>
          <w:b/>
          <w:color w:val="000000"/>
        </w:rPr>
        <w:t>.</w:t>
      </w:r>
      <w:r w:rsidRPr="00E65714">
        <w:rPr>
          <w:rFonts w:ascii="Palatino Linotype" w:hAnsi="Palatino Linotype" w:cs="Times New Roman"/>
          <w:color w:val="000000"/>
        </w:rPr>
        <w:t xml:space="preserve"> </w:t>
      </w:r>
      <w:r w:rsidR="00066CF1" w:rsidRPr="00066CF1">
        <w:rPr>
          <w:rFonts w:ascii="Palatino Linotype" w:hAnsi="Palatino Linotype" w:cs="Times New Roman"/>
          <w:color w:val="000000"/>
        </w:rPr>
        <w:t xml:space="preserve">Hierarchical clustering </w:t>
      </w:r>
      <w:proofErr w:type="spellStart"/>
      <w:r w:rsidR="00066CF1" w:rsidRPr="00066CF1">
        <w:rPr>
          <w:rFonts w:ascii="Palatino Linotype" w:hAnsi="Palatino Linotype" w:cs="Times New Roman"/>
          <w:color w:val="000000"/>
        </w:rPr>
        <w:t>heatmap</w:t>
      </w:r>
      <w:proofErr w:type="spellEnd"/>
      <w:r w:rsidR="00066CF1" w:rsidRPr="00066CF1">
        <w:rPr>
          <w:rFonts w:ascii="Palatino Linotype" w:hAnsi="Palatino Linotype" w:cs="Times New Roman"/>
          <w:color w:val="000000"/>
        </w:rPr>
        <w:t xml:space="preserve"> showing Spearman correlation coefficients between selected phospholipid species and clinical markers of infarct severity (peak troponin and LVEF) in the acute MI group. Colors represent correlation strength (blue, negative; red, positive). Clustering was performed using Euclidean distance and complete linkage. The analysis was restricted to the MI group due to the availability of clinical severity markers</w:t>
      </w:r>
      <w:r w:rsidRPr="00842545">
        <w:rPr>
          <w:rFonts w:ascii="Palatino Linotype" w:hAnsi="Palatino Linotype" w:cs="Times New Roman"/>
        </w:rPr>
        <w:t>.</w:t>
      </w:r>
    </w:p>
    <w:p w14:paraId="6785C06E" w14:textId="47F0C2EC" w:rsidR="00F61E4E" w:rsidRDefault="00E80E74" w:rsidP="00E65714">
      <w:pPr>
        <w:ind w:left="993" w:hanging="993"/>
        <w:jc w:val="both"/>
        <w:rPr>
          <w:rFonts w:ascii="Palatino Linotype" w:hAnsi="Palatino Linotype" w:cs="Times New Roman"/>
          <w:b/>
          <w:color w:val="000000"/>
        </w:rPr>
      </w:pPr>
      <w:r>
        <w:rPr>
          <w:noProof/>
          <w:lang w:val="pl-PL" w:eastAsia="zh-CN"/>
        </w:rPr>
        <w:drawing>
          <wp:inline distT="0" distB="0" distL="0" distR="0" wp14:anchorId="7A72C49A" wp14:editId="1FED453A">
            <wp:extent cx="5760720" cy="5760720"/>
            <wp:effectExtent l="0" t="0" r="0" b="0"/>
            <wp:docPr id="1250742477" name="Obraz 2" descr="Obraz zawierający zrzut ekranu, wzór, kwadrat,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742477" name="Obraz 2" descr="Obraz zawierający zrzut ekranu, wzór, kwadrat, Wielobarwność&#10;&#10;Zawartość wygenerowana przez AI może być niepoprawn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5760720"/>
                    </a:xfrm>
                    <a:prstGeom prst="rect">
                      <a:avLst/>
                    </a:prstGeom>
                    <a:noFill/>
                    <a:ln>
                      <a:noFill/>
                    </a:ln>
                  </pic:spPr>
                </pic:pic>
              </a:graphicData>
            </a:graphic>
          </wp:inline>
        </w:drawing>
      </w:r>
    </w:p>
    <w:p w14:paraId="30B2747F" w14:textId="77777777" w:rsidR="00F61E4E" w:rsidRDefault="00F61E4E" w:rsidP="00E65714">
      <w:pPr>
        <w:ind w:left="993" w:hanging="993"/>
        <w:jc w:val="both"/>
        <w:rPr>
          <w:rFonts w:ascii="Palatino Linotype" w:hAnsi="Palatino Linotype" w:cs="Times New Roman"/>
          <w:b/>
          <w:color w:val="000000"/>
        </w:rPr>
      </w:pPr>
    </w:p>
    <w:p w14:paraId="4A4FCA3B" w14:textId="77777777" w:rsidR="00F61E4E" w:rsidRDefault="00F61E4E" w:rsidP="00E65714">
      <w:pPr>
        <w:ind w:left="993" w:hanging="993"/>
        <w:jc w:val="both"/>
        <w:rPr>
          <w:rFonts w:ascii="Palatino Linotype" w:hAnsi="Palatino Linotype" w:cs="Times New Roman"/>
          <w:b/>
          <w:color w:val="000000"/>
        </w:rPr>
      </w:pPr>
    </w:p>
    <w:p w14:paraId="10968EC4" w14:textId="77777777" w:rsidR="00F61E4E" w:rsidRDefault="00F61E4E" w:rsidP="00E65714">
      <w:pPr>
        <w:ind w:left="993" w:hanging="993"/>
        <w:jc w:val="both"/>
        <w:rPr>
          <w:rFonts w:ascii="Palatino Linotype" w:hAnsi="Palatino Linotype" w:cs="Times New Roman"/>
          <w:b/>
          <w:color w:val="000000"/>
        </w:rPr>
      </w:pPr>
    </w:p>
    <w:p w14:paraId="511A6B97" w14:textId="49AEB566" w:rsidR="00EF7AEA" w:rsidRPr="00842545" w:rsidRDefault="00A24310" w:rsidP="00E65714">
      <w:pPr>
        <w:ind w:left="993" w:hanging="993"/>
        <w:jc w:val="both"/>
        <w:rPr>
          <w:rFonts w:ascii="Palatino Linotype" w:hAnsi="Palatino Linotype" w:cs="Times New Roman"/>
        </w:rPr>
      </w:pPr>
      <w:r>
        <w:rPr>
          <w:rFonts w:ascii="Palatino Linotype" w:hAnsi="Palatino Linotype" w:cs="Times New Roman"/>
          <w:b/>
          <w:color w:val="000000"/>
        </w:rPr>
        <w:lastRenderedPageBreak/>
        <w:t>Table S5</w:t>
      </w:r>
      <w:r w:rsidR="00803109" w:rsidRPr="00E65714">
        <w:rPr>
          <w:rFonts w:ascii="Palatino Linotype" w:hAnsi="Palatino Linotype" w:cs="Times New Roman"/>
          <w:b/>
          <w:color w:val="000000"/>
        </w:rPr>
        <w:t>.</w:t>
      </w:r>
      <w:r w:rsidR="00803109" w:rsidRPr="00E65714">
        <w:rPr>
          <w:rFonts w:ascii="Palatino Linotype" w:hAnsi="Palatino Linotype" w:cs="Times New Roman"/>
          <w:color w:val="000000"/>
        </w:rPr>
        <w:t xml:space="preserve"> </w:t>
      </w:r>
      <w:r w:rsidR="0059347F" w:rsidRPr="0059347F">
        <w:rPr>
          <w:rFonts w:ascii="Palatino Linotype" w:hAnsi="Palatino Linotype" w:cs="Times New Roman"/>
          <w:color w:val="000000"/>
        </w:rPr>
        <w:t>Spearman correlation coefficients (ρ) and corresponding p-values for associations between selected phospholipid species and clinical markers of infarct severity (peak troponin and LVEF) in the acute MI group</w:t>
      </w:r>
      <w:r w:rsidR="00FA0716" w:rsidRPr="00842545">
        <w:rPr>
          <w:rFonts w:ascii="Palatino Linotype" w:hAnsi="Palatino Linotype" w:cs="Times New Roman"/>
        </w:rPr>
        <w:t>.</w:t>
      </w:r>
    </w:p>
    <w:p w14:paraId="30DF0A54" w14:textId="77777777" w:rsidR="000F45CA" w:rsidRDefault="000F45CA" w:rsidP="00E65714">
      <w:pPr>
        <w:ind w:left="993" w:hanging="993"/>
        <w:jc w:val="both"/>
        <w:rPr>
          <w:rFonts w:ascii="Palatino Linotype" w:hAnsi="Palatino Linotype" w:cs="Times New Roman"/>
          <w:color w:val="FF0000"/>
        </w:rPr>
      </w:pPr>
    </w:p>
    <w:tbl>
      <w:tblPr>
        <w:tblStyle w:val="Zwykatabela2"/>
        <w:tblW w:w="8445" w:type="dxa"/>
        <w:tblLook w:val="04A0" w:firstRow="1" w:lastRow="0" w:firstColumn="1" w:lastColumn="0" w:noHBand="0" w:noVBand="1"/>
      </w:tblPr>
      <w:tblGrid>
        <w:gridCol w:w="3992"/>
        <w:gridCol w:w="1532"/>
        <w:gridCol w:w="1417"/>
        <w:gridCol w:w="1504"/>
      </w:tblGrid>
      <w:tr w:rsidR="002B286D" w:rsidRPr="00235813" w14:paraId="0D1F8CCD" w14:textId="77777777" w:rsidTr="003A74B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92" w:type="dxa"/>
          </w:tcPr>
          <w:p w14:paraId="4302CAA2" w14:textId="5306DAA3" w:rsidR="002B286D" w:rsidRPr="003A74B7" w:rsidRDefault="002B286D" w:rsidP="002137B8">
            <w:pPr>
              <w:jc w:val="center"/>
              <w:rPr>
                <w:rFonts w:ascii="Palatino Linotype" w:eastAsia="Times New Roman" w:hAnsi="Palatino Linotype" w:cs="Calibri"/>
                <w:b w:val="0"/>
                <w:iCs/>
                <w:color w:val="000000"/>
                <w:sz w:val="18"/>
                <w:szCs w:val="18"/>
              </w:rPr>
            </w:pPr>
            <w:r w:rsidRPr="003A74B7">
              <w:rPr>
                <w:rFonts w:ascii="Palatino Linotype" w:eastAsia="Times New Roman" w:hAnsi="Palatino Linotype" w:cs="Calibri"/>
                <w:b w:val="0"/>
                <w:iCs/>
                <w:color w:val="000000"/>
                <w:sz w:val="18"/>
                <w:szCs w:val="18"/>
              </w:rPr>
              <w:t>Lipid species</w:t>
            </w:r>
          </w:p>
        </w:tc>
        <w:tc>
          <w:tcPr>
            <w:tcW w:w="1532" w:type="dxa"/>
            <w:noWrap/>
            <w:hideMark/>
          </w:tcPr>
          <w:p w14:paraId="739D16E0" w14:textId="5EDB4A12" w:rsidR="002B286D" w:rsidRPr="003A74B7" w:rsidRDefault="002B286D" w:rsidP="002137B8">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Calibri"/>
                <w:b w:val="0"/>
                <w:color w:val="000000"/>
                <w:sz w:val="18"/>
                <w:szCs w:val="18"/>
              </w:rPr>
            </w:pPr>
            <w:r w:rsidRPr="003A74B7">
              <w:rPr>
                <w:rFonts w:ascii="Palatino Linotype" w:eastAsia="Times New Roman" w:hAnsi="Palatino Linotype" w:cs="Calibri"/>
                <w:b w:val="0"/>
                <w:color w:val="000000"/>
                <w:sz w:val="18"/>
                <w:szCs w:val="18"/>
              </w:rPr>
              <w:t>Clinical parameter</w:t>
            </w:r>
          </w:p>
        </w:tc>
        <w:tc>
          <w:tcPr>
            <w:tcW w:w="1417" w:type="dxa"/>
          </w:tcPr>
          <w:p w14:paraId="25B825FD" w14:textId="3BCF8EFC" w:rsidR="002B286D" w:rsidRPr="003A74B7" w:rsidRDefault="002B286D" w:rsidP="002137B8">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Calibri"/>
                <w:b w:val="0"/>
                <w:color w:val="000000"/>
                <w:sz w:val="18"/>
                <w:szCs w:val="18"/>
              </w:rPr>
            </w:pPr>
            <w:r w:rsidRPr="003A74B7">
              <w:rPr>
                <w:rFonts w:ascii="Palatino Linotype" w:eastAsia="Times New Roman" w:hAnsi="Palatino Linotype" w:cs="Calibri"/>
                <w:b w:val="0"/>
                <w:color w:val="000000"/>
                <w:sz w:val="18"/>
                <w:szCs w:val="18"/>
              </w:rPr>
              <w:t>Spearman’s ρ</w:t>
            </w:r>
          </w:p>
        </w:tc>
        <w:tc>
          <w:tcPr>
            <w:tcW w:w="1504" w:type="dxa"/>
            <w:noWrap/>
            <w:hideMark/>
          </w:tcPr>
          <w:p w14:paraId="6C8388AF" w14:textId="6A544B48" w:rsidR="002B286D" w:rsidRPr="003A74B7" w:rsidRDefault="002B286D" w:rsidP="002137B8">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Calibri"/>
                <w:b w:val="0"/>
                <w:color w:val="000000"/>
                <w:sz w:val="18"/>
                <w:szCs w:val="18"/>
              </w:rPr>
            </w:pPr>
            <w:r w:rsidRPr="003A74B7">
              <w:rPr>
                <w:rFonts w:ascii="Palatino Linotype" w:eastAsia="Times New Roman" w:hAnsi="Palatino Linotype" w:cs="Calibri"/>
                <w:b w:val="0"/>
                <w:color w:val="000000"/>
                <w:sz w:val="18"/>
                <w:szCs w:val="18"/>
              </w:rPr>
              <w:t>p-value</w:t>
            </w:r>
          </w:p>
        </w:tc>
      </w:tr>
      <w:tr w:rsidR="002B286D" w:rsidRPr="00235813" w14:paraId="117F67AD" w14:textId="77777777" w:rsidTr="003A74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92" w:type="dxa"/>
          </w:tcPr>
          <w:p w14:paraId="5BFBBA61" w14:textId="4A082EB0" w:rsidR="002B286D" w:rsidRPr="003A74B7" w:rsidRDefault="002B286D" w:rsidP="002137B8">
            <w:pPr>
              <w:jc w:val="center"/>
              <w:rPr>
                <w:rFonts w:ascii="Palatino Linotype" w:hAnsi="Palatino Linotype" w:cs="Calibri"/>
                <w:b w:val="0"/>
                <w:color w:val="000000"/>
                <w:sz w:val="18"/>
                <w:szCs w:val="18"/>
              </w:rPr>
            </w:pPr>
            <w:r w:rsidRPr="003A74B7">
              <w:rPr>
                <w:rFonts w:ascii="Palatino Linotype" w:hAnsi="Palatino Linotype" w:cs="Calibri"/>
                <w:b w:val="0"/>
                <w:color w:val="000000"/>
                <w:sz w:val="18"/>
                <w:szCs w:val="18"/>
              </w:rPr>
              <w:t>PC(O-36:4)/PC(P-36:3)</w:t>
            </w:r>
          </w:p>
        </w:tc>
        <w:tc>
          <w:tcPr>
            <w:tcW w:w="1532" w:type="dxa"/>
            <w:noWrap/>
          </w:tcPr>
          <w:p w14:paraId="4C028D9A" w14:textId="5B150B28"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hAnsi="Palatino Linotype" w:cs="Calibri"/>
                <w:color w:val="000000"/>
                <w:sz w:val="18"/>
                <w:szCs w:val="18"/>
              </w:rPr>
              <w:t>Peak troponin</w:t>
            </w:r>
          </w:p>
        </w:tc>
        <w:tc>
          <w:tcPr>
            <w:tcW w:w="1417" w:type="dxa"/>
          </w:tcPr>
          <w:p w14:paraId="2D50AB04" w14:textId="383CE6B1"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Calibri"/>
                <w:color w:val="000000"/>
                <w:sz w:val="18"/>
                <w:szCs w:val="18"/>
              </w:rPr>
            </w:pPr>
            <w:r w:rsidRPr="002B286D">
              <w:rPr>
                <w:rFonts w:ascii="Palatino Linotype" w:hAnsi="Palatino Linotype" w:cs="Calibri"/>
                <w:color w:val="000000"/>
                <w:sz w:val="18"/>
                <w:szCs w:val="18"/>
              </w:rPr>
              <w:t>0.388</w:t>
            </w:r>
          </w:p>
        </w:tc>
        <w:tc>
          <w:tcPr>
            <w:tcW w:w="1504" w:type="dxa"/>
            <w:noWrap/>
          </w:tcPr>
          <w:p w14:paraId="18FF3420" w14:textId="3C348BED"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eastAsia="Times New Roman" w:hAnsi="Palatino Linotype" w:cs="Calibri"/>
                <w:color w:val="000000"/>
                <w:sz w:val="18"/>
                <w:szCs w:val="18"/>
              </w:rPr>
              <w:t>0.091</w:t>
            </w:r>
          </w:p>
        </w:tc>
      </w:tr>
      <w:tr w:rsidR="002B286D" w:rsidRPr="00235813" w14:paraId="531BBD5E" w14:textId="77777777" w:rsidTr="003A74B7">
        <w:trPr>
          <w:trHeight w:val="300"/>
        </w:trPr>
        <w:tc>
          <w:tcPr>
            <w:cnfStyle w:val="001000000000" w:firstRow="0" w:lastRow="0" w:firstColumn="1" w:lastColumn="0" w:oddVBand="0" w:evenVBand="0" w:oddHBand="0" w:evenHBand="0" w:firstRowFirstColumn="0" w:firstRowLastColumn="0" w:lastRowFirstColumn="0" w:lastRowLastColumn="0"/>
            <w:tcW w:w="3992" w:type="dxa"/>
          </w:tcPr>
          <w:p w14:paraId="5B80B3E0" w14:textId="39101DE1" w:rsidR="002B286D" w:rsidRPr="003A74B7" w:rsidRDefault="002B286D" w:rsidP="002137B8">
            <w:pPr>
              <w:jc w:val="center"/>
              <w:rPr>
                <w:rFonts w:ascii="Palatino Linotype" w:hAnsi="Palatino Linotype" w:cs="Calibri"/>
                <w:b w:val="0"/>
                <w:color w:val="000000"/>
                <w:sz w:val="18"/>
                <w:szCs w:val="18"/>
              </w:rPr>
            </w:pPr>
            <w:r w:rsidRPr="003A74B7">
              <w:rPr>
                <w:rFonts w:ascii="Palatino Linotype" w:hAnsi="Palatino Linotype" w:cs="Calibri"/>
                <w:b w:val="0"/>
                <w:color w:val="000000"/>
                <w:sz w:val="18"/>
                <w:szCs w:val="18"/>
              </w:rPr>
              <w:t>PC(O-34:3)/PC(P-34:2)</w:t>
            </w:r>
          </w:p>
        </w:tc>
        <w:tc>
          <w:tcPr>
            <w:tcW w:w="1532" w:type="dxa"/>
            <w:noWrap/>
          </w:tcPr>
          <w:p w14:paraId="62B3977A" w14:textId="6067AD86" w:rsidR="002B286D" w:rsidRPr="00462090" w:rsidRDefault="002B286D" w:rsidP="002137B8">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hAnsi="Palatino Linotype" w:cs="Calibri"/>
                <w:color w:val="000000"/>
                <w:sz w:val="18"/>
                <w:szCs w:val="18"/>
              </w:rPr>
              <w:t>Peak troponin</w:t>
            </w:r>
          </w:p>
        </w:tc>
        <w:tc>
          <w:tcPr>
            <w:tcW w:w="1417" w:type="dxa"/>
          </w:tcPr>
          <w:p w14:paraId="22DEF8BC" w14:textId="647EB545" w:rsidR="002B286D" w:rsidRPr="00462090" w:rsidRDefault="002B286D" w:rsidP="002137B8">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cs="Calibri"/>
                <w:color w:val="000000"/>
                <w:sz w:val="18"/>
                <w:szCs w:val="18"/>
              </w:rPr>
            </w:pPr>
            <w:r w:rsidRPr="002B286D">
              <w:rPr>
                <w:rFonts w:ascii="Palatino Linotype" w:hAnsi="Palatino Linotype" w:cs="Calibri"/>
                <w:color w:val="000000"/>
                <w:sz w:val="18"/>
                <w:szCs w:val="18"/>
              </w:rPr>
              <w:t>0.351</w:t>
            </w:r>
          </w:p>
        </w:tc>
        <w:tc>
          <w:tcPr>
            <w:tcW w:w="1504" w:type="dxa"/>
            <w:noWrap/>
          </w:tcPr>
          <w:p w14:paraId="1EC6FE6F" w14:textId="6D73FE48" w:rsidR="002B286D" w:rsidRPr="00462090" w:rsidRDefault="002B286D" w:rsidP="002137B8">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eastAsia="Times New Roman" w:hAnsi="Palatino Linotype" w:cs="Calibri"/>
                <w:color w:val="000000"/>
                <w:sz w:val="18"/>
                <w:szCs w:val="18"/>
              </w:rPr>
              <w:t>0.129</w:t>
            </w:r>
          </w:p>
        </w:tc>
      </w:tr>
      <w:tr w:rsidR="002B286D" w:rsidRPr="00235813" w14:paraId="39A0D3E0" w14:textId="77777777" w:rsidTr="003A74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92" w:type="dxa"/>
          </w:tcPr>
          <w:p w14:paraId="4B79F1F3" w14:textId="7DFFED3B" w:rsidR="002B286D" w:rsidRPr="003A74B7" w:rsidRDefault="002B286D" w:rsidP="002137B8">
            <w:pPr>
              <w:jc w:val="center"/>
              <w:rPr>
                <w:rFonts w:ascii="Palatino Linotype" w:hAnsi="Palatino Linotype" w:cs="Calibri"/>
                <w:b w:val="0"/>
                <w:color w:val="000000"/>
                <w:sz w:val="18"/>
                <w:szCs w:val="18"/>
              </w:rPr>
            </w:pPr>
            <w:r w:rsidRPr="003A74B7">
              <w:rPr>
                <w:rFonts w:ascii="Palatino Linotype" w:hAnsi="Palatino Linotype" w:cs="Calibri"/>
                <w:b w:val="0"/>
                <w:color w:val="000000"/>
                <w:sz w:val="18"/>
                <w:szCs w:val="18"/>
              </w:rPr>
              <w:t>PC(40:5)</w:t>
            </w:r>
          </w:p>
        </w:tc>
        <w:tc>
          <w:tcPr>
            <w:tcW w:w="1532" w:type="dxa"/>
            <w:noWrap/>
          </w:tcPr>
          <w:p w14:paraId="52F2C971" w14:textId="2A67B4A3"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hAnsi="Palatino Linotype" w:cs="Calibri"/>
                <w:color w:val="000000"/>
                <w:sz w:val="18"/>
                <w:szCs w:val="18"/>
              </w:rPr>
              <w:t>LVEF</w:t>
            </w:r>
          </w:p>
        </w:tc>
        <w:tc>
          <w:tcPr>
            <w:tcW w:w="1417" w:type="dxa"/>
          </w:tcPr>
          <w:p w14:paraId="12A79D30" w14:textId="20A922AC"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Calibri"/>
                <w:color w:val="000000"/>
                <w:sz w:val="18"/>
                <w:szCs w:val="18"/>
              </w:rPr>
            </w:pPr>
            <w:r w:rsidRPr="002B286D">
              <w:rPr>
                <w:rFonts w:ascii="Palatino Linotype" w:hAnsi="Palatino Linotype" w:cs="Calibri"/>
                <w:color w:val="000000"/>
                <w:sz w:val="18"/>
                <w:szCs w:val="18"/>
              </w:rPr>
              <w:t>0.437</w:t>
            </w:r>
          </w:p>
        </w:tc>
        <w:tc>
          <w:tcPr>
            <w:tcW w:w="1504" w:type="dxa"/>
            <w:noWrap/>
          </w:tcPr>
          <w:p w14:paraId="4726E15F" w14:textId="78A8E9CC"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eastAsia="Times New Roman" w:hAnsi="Palatino Linotype" w:cs="Calibri"/>
                <w:color w:val="000000"/>
                <w:sz w:val="18"/>
                <w:szCs w:val="18"/>
              </w:rPr>
              <w:t>0.054</w:t>
            </w:r>
          </w:p>
        </w:tc>
      </w:tr>
      <w:tr w:rsidR="002B286D" w:rsidRPr="00235813" w14:paraId="4E6D8BAB" w14:textId="77777777" w:rsidTr="003A74B7">
        <w:trPr>
          <w:trHeight w:val="300"/>
        </w:trPr>
        <w:tc>
          <w:tcPr>
            <w:cnfStyle w:val="001000000000" w:firstRow="0" w:lastRow="0" w:firstColumn="1" w:lastColumn="0" w:oddVBand="0" w:evenVBand="0" w:oddHBand="0" w:evenHBand="0" w:firstRowFirstColumn="0" w:firstRowLastColumn="0" w:lastRowFirstColumn="0" w:lastRowLastColumn="0"/>
            <w:tcW w:w="3992" w:type="dxa"/>
          </w:tcPr>
          <w:p w14:paraId="64CB7CCB" w14:textId="1654D41B" w:rsidR="002B286D" w:rsidRPr="003A74B7" w:rsidRDefault="002B286D" w:rsidP="002137B8">
            <w:pPr>
              <w:jc w:val="center"/>
              <w:rPr>
                <w:rFonts w:ascii="Palatino Linotype" w:hAnsi="Palatino Linotype" w:cs="Calibri"/>
                <w:b w:val="0"/>
                <w:color w:val="000000"/>
                <w:sz w:val="18"/>
                <w:szCs w:val="18"/>
              </w:rPr>
            </w:pPr>
            <w:r w:rsidRPr="003A74B7">
              <w:rPr>
                <w:rFonts w:ascii="Palatino Linotype" w:hAnsi="Palatino Linotype" w:cs="Calibri"/>
                <w:b w:val="0"/>
                <w:color w:val="000000"/>
                <w:sz w:val="18"/>
                <w:szCs w:val="18"/>
              </w:rPr>
              <w:t>PE(O-38:7)/PE(P-38:6)</w:t>
            </w:r>
          </w:p>
        </w:tc>
        <w:tc>
          <w:tcPr>
            <w:tcW w:w="1532" w:type="dxa"/>
            <w:noWrap/>
          </w:tcPr>
          <w:p w14:paraId="1DB3DDC8" w14:textId="01022780" w:rsidR="002B286D" w:rsidRPr="00462090" w:rsidRDefault="002B286D" w:rsidP="002137B8">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hAnsi="Palatino Linotype" w:cs="Calibri"/>
                <w:color w:val="000000"/>
                <w:sz w:val="18"/>
                <w:szCs w:val="18"/>
              </w:rPr>
              <w:t>LVEF</w:t>
            </w:r>
          </w:p>
        </w:tc>
        <w:tc>
          <w:tcPr>
            <w:tcW w:w="1417" w:type="dxa"/>
          </w:tcPr>
          <w:p w14:paraId="6E012D74" w14:textId="3479C1DB" w:rsidR="002B286D" w:rsidRPr="00462090" w:rsidRDefault="002B286D" w:rsidP="002137B8">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cs="Calibri"/>
                <w:color w:val="000000"/>
                <w:sz w:val="18"/>
                <w:szCs w:val="18"/>
              </w:rPr>
            </w:pPr>
            <w:r w:rsidRPr="002B286D">
              <w:rPr>
                <w:rFonts w:ascii="Palatino Linotype" w:hAnsi="Palatino Linotype" w:cs="Calibri"/>
                <w:color w:val="000000"/>
                <w:sz w:val="18"/>
                <w:szCs w:val="18"/>
              </w:rPr>
              <w:t>0.310</w:t>
            </w:r>
          </w:p>
        </w:tc>
        <w:tc>
          <w:tcPr>
            <w:tcW w:w="1504" w:type="dxa"/>
            <w:noWrap/>
          </w:tcPr>
          <w:p w14:paraId="184FF4C3" w14:textId="2E7B8657" w:rsidR="002B286D" w:rsidRPr="00462090" w:rsidRDefault="002B286D" w:rsidP="002137B8">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eastAsia="Times New Roman" w:hAnsi="Palatino Linotype" w:cs="Calibri"/>
                <w:color w:val="000000"/>
                <w:sz w:val="18"/>
                <w:szCs w:val="18"/>
              </w:rPr>
              <w:t>0.183</w:t>
            </w:r>
          </w:p>
        </w:tc>
        <w:bookmarkStart w:id="0" w:name="_GoBack"/>
        <w:bookmarkEnd w:id="0"/>
      </w:tr>
      <w:tr w:rsidR="002B286D" w:rsidRPr="00235813" w14:paraId="0E0FD7CC" w14:textId="77777777" w:rsidTr="003A74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92" w:type="dxa"/>
          </w:tcPr>
          <w:p w14:paraId="4A63A267" w14:textId="1C2E54A5" w:rsidR="002B286D" w:rsidRPr="003A74B7" w:rsidRDefault="002B286D" w:rsidP="002137B8">
            <w:pPr>
              <w:jc w:val="center"/>
              <w:rPr>
                <w:rFonts w:ascii="Palatino Linotype" w:hAnsi="Palatino Linotype" w:cs="Calibri"/>
                <w:b w:val="0"/>
                <w:color w:val="000000"/>
                <w:sz w:val="18"/>
                <w:szCs w:val="18"/>
              </w:rPr>
            </w:pPr>
            <w:r w:rsidRPr="003A74B7">
              <w:rPr>
                <w:rFonts w:ascii="Palatino Linotype" w:hAnsi="Palatino Linotype" w:cs="Calibri"/>
                <w:b w:val="0"/>
                <w:color w:val="000000"/>
                <w:sz w:val="18"/>
                <w:szCs w:val="18"/>
              </w:rPr>
              <w:t>PC(O-38:5)/PC(P-38:4)</w:t>
            </w:r>
          </w:p>
        </w:tc>
        <w:tc>
          <w:tcPr>
            <w:tcW w:w="1532" w:type="dxa"/>
            <w:noWrap/>
          </w:tcPr>
          <w:p w14:paraId="6957E89C" w14:textId="5D197FB5"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Calibri"/>
                <w:color w:val="000000"/>
                <w:sz w:val="18"/>
                <w:szCs w:val="18"/>
              </w:rPr>
            </w:pPr>
            <w:r w:rsidRPr="002B286D">
              <w:rPr>
                <w:rFonts w:ascii="Palatino Linotype" w:hAnsi="Palatino Linotype" w:cs="Calibri"/>
                <w:color w:val="000000"/>
                <w:sz w:val="18"/>
                <w:szCs w:val="18"/>
              </w:rPr>
              <w:t>LVEF</w:t>
            </w:r>
          </w:p>
        </w:tc>
        <w:tc>
          <w:tcPr>
            <w:tcW w:w="1417" w:type="dxa"/>
          </w:tcPr>
          <w:p w14:paraId="4312278D" w14:textId="1E70F67F" w:rsidR="002B286D" w:rsidRPr="00462090" w:rsidRDefault="002B286D" w:rsidP="002137B8">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Calibri"/>
                <w:color w:val="000000"/>
                <w:sz w:val="18"/>
                <w:szCs w:val="18"/>
              </w:rPr>
            </w:pPr>
            <w:r w:rsidRPr="002B286D">
              <w:rPr>
                <w:rFonts w:ascii="Palatino Linotype" w:hAnsi="Palatino Linotype" w:cs="Calibri"/>
                <w:color w:val="000000"/>
                <w:sz w:val="18"/>
                <w:szCs w:val="18"/>
              </w:rPr>
              <w:t>0.268</w:t>
            </w:r>
          </w:p>
        </w:tc>
        <w:tc>
          <w:tcPr>
            <w:tcW w:w="1504" w:type="dxa"/>
            <w:noWrap/>
          </w:tcPr>
          <w:p w14:paraId="6C838EF2" w14:textId="2A5AB555" w:rsidR="002B286D" w:rsidRPr="00462090" w:rsidRDefault="007A7660" w:rsidP="002137B8">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Calibri"/>
                <w:color w:val="000000"/>
                <w:sz w:val="18"/>
                <w:szCs w:val="18"/>
              </w:rPr>
            </w:pPr>
            <w:r w:rsidRPr="007A7660">
              <w:rPr>
                <w:rFonts w:ascii="Palatino Linotype" w:eastAsia="Times New Roman" w:hAnsi="Palatino Linotype" w:cs="Calibri"/>
                <w:color w:val="000000"/>
                <w:sz w:val="18"/>
                <w:szCs w:val="18"/>
              </w:rPr>
              <w:t>0.254</w:t>
            </w:r>
          </w:p>
        </w:tc>
      </w:tr>
    </w:tbl>
    <w:p w14:paraId="4D03A255" w14:textId="158B6BCF" w:rsidR="00842545" w:rsidRPr="00A57D52" w:rsidRDefault="00A775D6" w:rsidP="00A57D52">
      <w:pPr>
        <w:snapToGrid w:val="0"/>
        <w:spacing w:before="120" w:after="0"/>
        <w:ind w:right="998"/>
        <w:jc w:val="both"/>
        <w:rPr>
          <w:rFonts w:ascii="Palatino Linotype" w:hAnsi="Palatino Linotype"/>
          <w:sz w:val="18"/>
          <w:szCs w:val="18"/>
        </w:rPr>
      </w:pPr>
      <w:r w:rsidRPr="00A57D52">
        <w:rPr>
          <w:rFonts w:ascii="Palatino Linotype" w:hAnsi="Palatino Linotype"/>
          <w:sz w:val="18"/>
          <w:szCs w:val="18"/>
        </w:rPr>
        <w:t>Spearman correlation coefficients (ρ) and corresponding p-values are shown. Analyses were restricted to the acute MI group due to the availability of clinical severity markers. Correlations are exploratory and were not adjusted for multiple testing. These findings should be interpreted as hypothesis-generating.</w:t>
      </w:r>
    </w:p>
    <w:p w14:paraId="1E4F195A" w14:textId="28A04F64" w:rsidR="00842545" w:rsidRPr="00A775D6" w:rsidRDefault="00842545" w:rsidP="009C520F">
      <w:pPr>
        <w:jc w:val="both"/>
        <w:rPr>
          <w:rFonts w:ascii="Palatino Linotype" w:hAnsi="Palatino Linotype"/>
        </w:rPr>
      </w:pPr>
    </w:p>
    <w:p w14:paraId="291275FD" w14:textId="39E95CF8" w:rsidR="00842545" w:rsidRDefault="00842545" w:rsidP="009C520F">
      <w:pPr>
        <w:jc w:val="both"/>
        <w:rPr>
          <w:rFonts w:ascii="Palatino Linotype" w:hAnsi="Palatino Linotype"/>
          <w:b/>
        </w:rPr>
      </w:pPr>
    </w:p>
    <w:p w14:paraId="48A05D0D" w14:textId="02590677" w:rsidR="00842545" w:rsidRDefault="00842545" w:rsidP="009C520F">
      <w:pPr>
        <w:jc w:val="both"/>
        <w:rPr>
          <w:rFonts w:ascii="Palatino Linotype" w:hAnsi="Palatino Linotype"/>
          <w:b/>
        </w:rPr>
      </w:pPr>
    </w:p>
    <w:p w14:paraId="2C59C385" w14:textId="408CF7D1" w:rsidR="00842545" w:rsidRDefault="00842545" w:rsidP="009C520F">
      <w:pPr>
        <w:jc w:val="both"/>
        <w:rPr>
          <w:rFonts w:ascii="Palatino Linotype" w:hAnsi="Palatino Linotype"/>
          <w:b/>
        </w:rPr>
      </w:pPr>
    </w:p>
    <w:p w14:paraId="7B0BF1ED" w14:textId="77777777" w:rsidR="00842545" w:rsidRDefault="00842545" w:rsidP="009C520F">
      <w:pPr>
        <w:jc w:val="both"/>
        <w:rPr>
          <w:rFonts w:ascii="Palatino Linotype" w:hAnsi="Palatino Linotype"/>
          <w:b/>
        </w:rPr>
      </w:pPr>
    </w:p>
    <w:sectPr w:rsidR="0084254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4C4C" w14:textId="77777777" w:rsidR="00CF0808" w:rsidRDefault="00CF0808" w:rsidP="00662645">
      <w:pPr>
        <w:spacing w:after="0" w:line="240" w:lineRule="auto"/>
      </w:pPr>
      <w:r>
        <w:separator/>
      </w:r>
    </w:p>
  </w:endnote>
  <w:endnote w:type="continuationSeparator" w:id="0">
    <w:p w14:paraId="78B67CF1" w14:textId="77777777" w:rsidR="00CF0808" w:rsidRDefault="00CF0808" w:rsidP="00662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74289"/>
      <w:docPartObj>
        <w:docPartGallery w:val="Page Numbers (Bottom of Page)"/>
        <w:docPartUnique/>
      </w:docPartObj>
    </w:sdtPr>
    <w:sdtEndPr>
      <w:rPr>
        <w:noProof/>
      </w:rPr>
    </w:sdtEndPr>
    <w:sdtContent>
      <w:p w14:paraId="75C739C4" w14:textId="1FEF6234" w:rsidR="00A24310" w:rsidRDefault="00A24310">
        <w:pPr>
          <w:pStyle w:val="Stopka"/>
          <w:jc w:val="right"/>
        </w:pPr>
        <w:r>
          <w:fldChar w:fldCharType="begin"/>
        </w:r>
        <w:r>
          <w:instrText xml:space="preserve"> PAGE   \* MERGEFORMAT </w:instrText>
        </w:r>
        <w:r>
          <w:fldChar w:fldCharType="separate"/>
        </w:r>
        <w:r w:rsidR="00A57D52">
          <w:rPr>
            <w:noProof/>
          </w:rPr>
          <w:t>2</w:t>
        </w:r>
        <w:r>
          <w:rPr>
            <w:noProof/>
          </w:rPr>
          <w:fldChar w:fldCharType="end"/>
        </w:r>
      </w:p>
    </w:sdtContent>
  </w:sdt>
  <w:p w14:paraId="77001D18" w14:textId="77777777" w:rsidR="00A24310" w:rsidRDefault="00A243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F871C" w14:textId="77777777" w:rsidR="00CF0808" w:rsidRDefault="00CF0808" w:rsidP="00662645">
      <w:pPr>
        <w:spacing w:after="0" w:line="240" w:lineRule="auto"/>
      </w:pPr>
      <w:r>
        <w:separator/>
      </w:r>
    </w:p>
  </w:footnote>
  <w:footnote w:type="continuationSeparator" w:id="0">
    <w:p w14:paraId="13DCF094" w14:textId="77777777" w:rsidR="00CF0808" w:rsidRDefault="00CF0808" w:rsidP="006626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DC3"/>
    <w:rsid w:val="000067CF"/>
    <w:rsid w:val="00027447"/>
    <w:rsid w:val="00043126"/>
    <w:rsid w:val="000469BA"/>
    <w:rsid w:val="00064FCF"/>
    <w:rsid w:val="00066807"/>
    <w:rsid w:val="00066CF1"/>
    <w:rsid w:val="00072CC8"/>
    <w:rsid w:val="0007424D"/>
    <w:rsid w:val="00083B09"/>
    <w:rsid w:val="000955B2"/>
    <w:rsid w:val="000A3BB4"/>
    <w:rsid w:val="000B26E1"/>
    <w:rsid w:val="000B4D3E"/>
    <w:rsid w:val="000C45C1"/>
    <w:rsid w:val="000D009E"/>
    <w:rsid w:val="000D26C5"/>
    <w:rsid w:val="000E068B"/>
    <w:rsid w:val="000E7E06"/>
    <w:rsid w:val="000F0EF7"/>
    <w:rsid w:val="000F34D3"/>
    <w:rsid w:val="000F45CA"/>
    <w:rsid w:val="001003D2"/>
    <w:rsid w:val="00101CD2"/>
    <w:rsid w:val="00122AA8"/>
    <w:rsid w:val="0012410D"/>
    <w:rsid w:val="0013097B"/>
    <w:rsid w:val="001770AB"/>
    <w:rsid w:val="00181F83"/>
    <w:rsid w:val="001901D6"/>
    <w:rsid w:val="001A7415"/>
    <w:rsid w:val="001B0159"/>
    <w:rsid w:val="001B0682"/>
    <w:rsid w:val="001B2F29"/>
    <w:rsid w:val="001C50C0"/>
    <w:rsid w:val="001D76E2"/>
    <w:rsid w:val="001F6BC4"/>
    <w:rsid w:val="0020020B"/>
    <w:rsid w:val="00206B33"/>
    <w:rsid w:val="00207978"/>
    <w:rsid w:val="002137B8"/>
    <w:rsid w:val="002169FB"/>
    <w:rsid w:val="0021795F"/>
    <w:rsid w:val="00227B2E"/>
    <w:rsid w:val="00234761"/>
    <w:rsid w:val="0023507D"/>
    <w:rsid w:val="00235813"/>
    <w:rsid w:val="00235965"/>
    <w:rsid w:val="00240490"/>
    <w:rsid w:val="00245AA0"/>
    <w:rsid w:val="00265F49"/>
    <w:rsid w:val="00281C65"/>
    <w:rsid w:val="00283259"/>
    <w:rsid w:val="00294287"/>
    <w:rsid w:val="00296887"/>
    <w:rsid w:val="002B286D"/>
    <w:rsid w:val="002B4F7B"/>
    <w:rsid w:val="002C1EC3"/>
    <w:rsid w:val="002C3409"/>
    <w:rsid w:val="002D30E2"/>
    <w:rsid w:val="002D710F"/>
    <w:rsid w:val="002E5C46"/>
    <w:rsid w:val="002F79D3"/>
    <w:rsid w:val="00302154"/>
    <w:rsid w:val="0031494C"/>
    <w:rsid w:val="0032744E"/>
    <w:rsid w:val="003333FE"/>
    <w:rsid w:val="00352A0E"/>
    <w:rsid w:val="003763C8"/>
    <w:rsid w:val="003819A4"/>
    <w:rsid w:val="003921F3"/>
    <w:rsid w:val="003A74B7"/>
    <w:rsid w:val="003B0DD3"/>
    <w:rsid w:val="003D3459"/>
    <w:rsid w:val="003F1346"/>
    <w:rsid w:val="004111D9"/>
    <w:rsid w:val="00417943"/>
    <w:rsid w:val="0043259C"/>
    <w:rsid w:val="00444593"/>
    <w:rsid w:val="00450552"/>
    <w:rsid w:val="00462090"/>
    <w:rsid w:val="0049159E"/>
    <w:rsid w:val="00492794"/>
    <w:rsid w:val="00495745"/>
    <w:rsid w:val="004B0F90"/>
    <w:rsid w:val="004B47E0"/>
    <w:rsid w:val="004D3285"/>
    <w:rsid w:val="004E3DB7"/>
    <w:rsid w:val="004E4017"/>
    <w:rsid w:val="004F4AAF"/>
    <w:rsid w:val="0050171A"/>
    <w:rsid w:val="00521B44"/>
    <w:rsid w:val="00524352"/>
    <w:rsid w:val="00541652"/>
    <w:rsid w:val="005568C3"/>
    <w:rsid w:val="00557AF1"/>
    <w:rsid w:val="00575D47"/>
    <w:rsid w:val="00584247"/>
    <w:rsid w:val="00587152"/>
    <w:rsid w:val="0059347F"/>
    <w:rsid w:val="005A5DC3"/>
    <w:rsid w:val="005C04D1"/>
    <w:rsid w:val="005C5BC5"/>
    <w:rsid w:val="005D15EE"/>
    <w:rsid w:val="006036BD"/>
    <w:rsid w:val="00620061"/>
    <w:rsid w:val="006309C7"/>
    <w:rsid w:val="0064115D"/>
    <w:rsid w:val="006572D1"/>
    <w:rsid w:val="00662645"/>
    <w:rsid w:val="00671B6A"/>
    <w:rsid w:val="00673CD3"/>
    <w:rsid w:val="00681079"/>
    <w:rsid w:val="006A0953"/>
    <w:rsid w:val="006C4D51"/>
    <w:rsid w:val="006C7AEF"/>
    <w:rsid w:val="006D72BB"/>
    <w:rsid w:val="0071116A"/>
    <w:rsid w:val="00712C53"/>
    <w:rsid w:val="007218C4"/>
    <w:rsid w:val="0072580B"/>
    <w:rsid w:val="00725EA1"/>
    <w:rsid w:val="0073062D"/>
    <w:rsid w:val="00734AE3"/>
    <w:rsid w:val="00754BE6"/>
    <w:rsid w:val="0075784B"/>
    <w:rsid w:val="00772129"/>
    <w:rsid w:val="00772F08"/>
    <w:rsid w:val="00774CC0"/>
    <w:rsid w:val="00777AA6"/>
    <w:rsid w:val="007872D3"/>
    <w:rsid w:val="00792710"/>
    <w:rsid w:val="007A7660"/>
    <w:rsid w:val="007B611E"/>
    <w:rsid w:val="007C1B59"/>
    <w:rsid w:val="007C23BD"/>
    <w:rsid w:val="007E48B5"/>
    <w:rsid w:val="007E7DC2"/>
    <w:rsid w:val="007F3061"/>
    <w:rsid w:val="00800C66"/>
    <w:rsid w:val="00803109"/>
    <w:rsid w:val="008227CC"/>
    <w:rsid w:val="008251DE"/>
    <w:rsid w:val="0084066A"/>
    <w:rsid w:val="00842545"/>
    <w:rsid w:val="008437A0"/>
    <w:rsid w:val="00853D40"/>
    <w:rsid w:val="008949BA"/>
    <w:rsid w:val="008A5816"/>
    <w:rsid w:val="008E0931"/>
    <w:rsid w:val="009246B3"/>
    <w:rsid w:val="00927622"/>
    <w:rsid w:val="00934EF3"/>
    <w:rsid w:val="009528EB"/>
    <w:rsid w:val="00965A2E"/>
    <w:rsid w:val="00976CEE"/>
    <w:rsid w:val="00986050"/>
    <w:rsid w:val="009901BB"/>
    <w:rsid w:val="00994341"/>
    <w:rsid w:val="00996615"/>
    <w:rsid w:val="009A2014"/>
    <w:rsid w:val="009A23A9"/>
    <w:rsid w:val="009B4BF8"/>
    <w:rsid w:val="009C520F"/>
    <w:rsid w:val="009E0CA5"/>
    <w:rsid w:val="009E2066"/>
    <w:rsid w:val="009E20A1"/>
    <w:rsid w:val="00A11725"/>
    <w:rsid w:val="00A24310"/>
    <w:rsid w:val="00A34FA9"/>
    <w:rsid w:val="00A47763"/>
    <w:rsid w:val="00A50526"/>
    <w:rsid w:val="00A57D52"/>
    <w:rsid w:val="00A7652E"/>
    <w:rsid w:val="00A775D6"/>
    <w:rsid w:val="00A80E77"/>
    <w:rsid w:val="00AA67E3"/>
    <w:rsid w:val="00AB1E35"/>
    <w:rsid w:val="00AC3853"/>
    <w:rsid w:val="00AC6D0D"/>
    <w:rsid w:val="00AE08A6"/>
    <w:rsid w:val="00AE2361"/>
    <w:rsid w:val="00AF0668"/>
    <w:rsid w:val="00B21FE4"/>
    <w:rsid w:val="00B35E3D"/>
    <w:rsid w:val="00B66E43"/>
    <w:rsid w:val="00B702BC"/>
    <w:rsid w:val="00B7723B"/>
    <w:rsid w:val="00B77CB8"/>
    <w:rsid w:val="00B848CA"/>
    <w:rsid w:val="00B92E3E"/>
    <w:rsid w:val="00B92EF8"/>
    <w:rsid w:val="00BA083F"/>
    <w:rsid w:val="00BA2B27"/>
    <w:rsid w:val="00BB138B"/>
    <w:rsid w:val="00BB1BCD"/>
    <w:rsid w:val="00BB38BC"/>
    <w:rsid w:val="00BB64AE"/>
    <w:rsid w:val="00BB6A35"/>
    <w:rsid w:val="00BC5F05"/>
    <w:rsid w:val="00BC6B84"/>
    <w:rsid w:val="00BE0CCA"/>
    <w:rsid w:val="00BE3645"/>
    <w:rsid w:val="00BE3AD6"/>
    <w:rsid w:val="00BF451D"/>
    <w:rsid w:val="00C03785"/>
    <w:rsid w:val="00C12D44"/>
    <w:rsid w:val="00C15C9E"/>
    <w:rsid w:val="00C24943"/>
    <w:rsid w:val="00C5560E"/>
    <w:rsid w:val="00C67584"/>
    <w:rsid w:val="00C8286C"/>
    <w:rsid w:val="00C91CE5"/>
    <w:rsid w:val="00C956E5"/>
    <w:rsid w:val="00CA27F8"/>
    <w:rsid w:val="00CA2941"/>
    <w:rsid w:val="00CA2C7A"/>
    <w:rsid w:val="00CA3530"/>
    <w:rsid w:val="00CA40AB"/>
    <w:rsid w:val="00CA6611"/>
    <w:rsid w:val="00CA7368"/>
    <w:rsid w:val="00CB0403"/>
    <w:rsid w:val="00CB71D4"/>
    <w:rsid w:val="00CB784E"/>
    <w:rsid w:val="00CC591A"/>
    <w:rsid w:val="00CD0259"/>
    <w:rsid w:val="00CF0808"/>
    <w:rsid w:val="00CF3E2D"/>
    <w:rsid w:val="00D063A0"/>
    <w:rsid w:val="00D07BBB"/>
    <w:rsid w:val="00D10647"/>
    <w:rsid w:val="00D113D7"/>
    <w:rsid w:val="00D12FE4"/>
    <w:rsid w:val="00D14A64"/>
    <w:rsid w:val="00D35546"/>
    <w:rsid w:val="00D426EB"/>
    <w:rsid w:val="00D51B51"/>
    <w:rsid w:val="00D73CD2"/>
    <w:rsid w:val="00D74C80"/>
    <w:rsid w:val="00D83262"/>
    <w:rsid w:val="00D97D0B"/>
    <w:rsid w:val="00DB2D2E"/>
    <w:rsid w:val="00DC556F"/>
    <w:rsid w:val="00DD201E"/>
    <w:rsid w:val="00DD6626"/>
    <w:rsid w:val="00DD7D10"/>
    <w:rsid w:val="00E26AAA"/>
    <w:rsid w:val="00E31DB9"/>
    <w:rsid w:val="00E35AE6"/>
    <w:rsid w:val="00E53F22"/>
    <w:rsid w:val="00E65714"/>
    <w:rsid w:val="00E7316F"/>
    <w:rsid w:val="00E73BDA"/>
    <w:rsid w:val="00E80E74"/>
    <w:rsid w:val="00EC203E"/>
    <w:rsid w:val="00EC2869"/>
    <w:rsid w:val="00ED1173"/>
    <w:rsid w:val="00ED11AE"/>
    <w:rsid w:val="00EF7AEA"/>
    <w:rsid w:val="00F024AE"/>
    <w:rsid w:val="00F10F9D"/>
    <w:rsid w:val="00F13F74"/>
    <w:rsid w:val="00F30647"/>
    <w:rsid w:val="00F46384"/>
    <w:rsid w:val="00F561C2"/>
    <w:rsid w:val="00F56B6B"/>
    <w:rsid w:val="00F61E4E"/>
    <w:rsid w:val="00F66B73"/>
    <w:rsid w:val="00F81333"/>
    <w:rsid w:val="00F93BB1"/>
    <w:rsid w:val="00FA0716"/>
    <w:rsid w:val="00FA215E"/>
    <w:rsid w:val="00FA619D"/>
    <w:rsid w:val="00FA724F"/>
    <w:rsid w:val="00FB6C85"/>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F2080"/>
  <w15:docId w15:val="{970D24B2-A347-4976-9360-FAAD5D9F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ibliografia">
    <w:name w:val="Bibliography"/>
    <w:basedOn w:val="Normalny"/>
    <w:next w:val="Normalny"/>
    <w:uiPriority w:val="37"/>
    <w:unhideWhenUsed/>
    <w:rsid w:val="000E068B"/>
    <w:pPr>
      <w:spacing w:after="0" w:line="240" w:lineRule="auto"/>
      <w:ind w:left="720" w:hanging="720"/>
    </w:pPr>
  </w:style>
  <w:style w:type="paragraph" w:styleId="Tekstdymka">
    <w:name w:val="Balloon Text"/>
    <w:basedOn w:val="Normalny"/>
    <w:link w:val="TekstdymkaZnak"/>
    <w:uiPriority w:val="99"/>
    <w:semiHidden/>
    <w:unhideWhenUsed/>
    <w:rsid w:val="00D73CD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3CD2"/>
    <w:rPr>
      <w:rFonts w:ascii="Tahoma" w:hAnsi="Tahoma" w:cs="Tahoma"/>
      <w:sz w:val="16"/>
      <w:szCs w:val="16"/>
    </w:rPr>
  </w:style>
  <w:style w:type="paragraph" w:styleId="Nagwek">
    <w:name w:val="header"/>
    <w:basedOn w:val="Normalny"/>
    <w:link w:val="NagwekZnak"/>
    <w:uiPriority w:val="99"/>
    <w:unhideWhenUsed/>
    <w:rsid w:val="00662645"/>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662645"/>
  </w:style>
  <w:style w:type="paragraph" w:styleId="Stopka">
    <w:name w:val="footer"/>
    <w:basedOn w:val="Normalny"/>
    <w:link w:val="StopkaZnak"/>
    <w:uiPriority w:val="99"/>
    <w:unhideWhenUsed/>
    <w:rsid w:val="00662645"/>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662645"/>
  </w:style>
  <w:style w:type="table" w:styleId="Tabela-Siatka">
    <w:name w:val="Table Grid"/>
    <w:basedOn w:val="Standardowy"/>
    <w:uiPriority w:val="59"/>
    <w:rsid w:val="00D426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
    <w:name w:val="ui-column-title"/>
    <w:basedOn w:val="Domylnaczcionkaakapitu"/>
    <w:rsid w:val="000469BA"/>
  </w:style>
  <w:style w:type="table" w:styleId="Zwykatabela2">
    <w:name w:val="Plain Table 2"/>
    <w:basedOn w:val="Standardowy"/>
    <w:uiPriority w:val="42"/>
    <w:rsid w:val="003A74B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841149">
      <w:bodyDiv w:val="1"/>
      <w:marLeft w:val="0"/>
      <w:marRight w:val="0"/>
      <w:marTop w:val="0"/>
      <w:marBottom w:val="0"/>
      <w:divBdr>
        <w:top w:val="none" w:sz="0" w:space="0" w:color="auto"/>
        <w:left w:val="none" w:sz="0" w:space="0" w:color="auto"/>
        <w:bottom w:val="none" w:sz="0" w:space="0" w:color="auto"/>
        <w:right w:val="none" w:sz="0" w:space="0" w:color="auto"/>
      </w:divBdr>
    </w:div>
    <w:div w:id="528639628">
      <w:bodyDiv w:val="1"/>
      <w:marLeft w:val="0"/>
      <w:marRight w:val="0"/>
      <w:marTop w:val="0"/>
      <w:marBottom w:val="0"/>
      <w:divBdr>
        <w:top w:val="none" w:sz="0" w:space="0" w:color="auto"/>
        <w:left w:val="none" w:sz="0" w:space="0" w:color="auto"/>
        <w:bottom w:val="none" w:sz="0" w:space="0" w:color="auto"/>
        <w:right w:val="none" w:sz="0" w:space="0" w:color="auto"/>
      </w:divBdr>
    </w:div>
    <w:div w:id="687754339">
      <w:bodyDiv w:val="1"/>
      <w:marLeft w:val="0"/>
      <w:marRight w:val="0"/>
      <w:marTop w:val="0"/>
      <w:marBottom w:val="0"/>
      <w:divBdr>
        <w:top w:val="none" w:sz="0" w:space="0" w:color="auto"/>
        <w:left w:val="none" w:sz="0" w:space="0" w:color="auto"/>
        <w:bottom w:val="none" w:sz="0" w:space="0" w:color="auto"/>
        <w:right w:val="none" w:sz="0" w:space="0" w:color="auto"/>
      </w:divBdr>
    </w:div>
    <w:div w:id="907809210">
      <w:bodyDiv w:val="1"/>
      <w:marLeft w:val="0"/>
      <w:marRight w:val="0"/>
      <w:marTop w:val="0"/>
      <w:marBottom w:val="0"/>
      <w:divBdr>
        <w:top w:val="none" w:sz="0" w:space="0" w:color="auto"/>
        <w:left w:val="none" w:sz="0" w:space="0" w:color="auto"/>
        <w:bottom w:val="none" w:sz="0" w:space="0" w:color="auto"/>
        <w:right w:val="none" w:sz="0" w:space="0" w:color="auto"/>
      </w:divBdr>
    </w:div>
    <w:div w:id="1062218651">
      <w:bodyDiv w:val="1"/>
      <w:marLeft w:val="0"/>
      <w:marRight w:val="0"/>
      <w:marTop w:val="0"/>
      <w:marBottom w:val="0"/>
      <w:divBdr>
        <w:top w:val="none" w:sz="0" w:space="0" w:color="auto"/>
        <w:left w:val="none" w:sz="0" w:space="0" w:color="auto"/>
        <w:bottom w:val="none" w:sz="0" w:space="0" w:color="auto"/>
        <w:right w:val="none" w:sz="0" w:space="0" w:color="auto"/>
      </w:divBdr>
    </w:div>
    <w:div w:id="1343773672">
      <w:bodyDiv w:val="1"/>
      <w:marLeft w:val="0"/>
      <w:marRight w:val="0"/>
      <w:marTop w:val="0"/>
      <w:marBottom w:val="0"/>
      <w:divBdr>
        <w:top w:val="none" w:sz="0" w:space="0" w:color="auto"/>
        <w:left w:val="none" w:sz="0" w:space="0" w:color="auto"/>
        <w:bottom w:val="none" w:sz="0" w:space="0" w:color="auto"/>
        <w:right w:val="none" w:sz="0" w:space="0" w:color="auto"/>
      </w:divBdr>
    </w:div>
    <w:div w:id="1552769102">
      <w:bodyDiv w:val="1"/>
      <w:marLeft w:val="0"/>
      <w:marRight w:val="0"/>
      <w:marTop w:val="0"/>
      <w:marBottom w:val="0"/>
      <w:divBdr>
        <w:top w:val="none" w:sz="0" w:space="0" w:color="auto"/>
        <w:left w:val="none" w:sz="0" w:space="0" w:color="auto"/>
        <w:bottom w:val="none" w:sz="0" w:space="0" w:color="auto"/>
        <w:right w:val="none" w:sz="0" w:space="0" w:color="auto"/>
      </w:divBdr>
    </w:div>
    <w:div w:id="1703168198">
      <w:bodyDiv w:val="1"/>
      <w:marLeft w:val="0"/>
      <w:marRight w:val="0"/>
      <w:marTop w:val="0"/>
      <w:marBottom w:val="0"/>
      <w:divBdr>
        <w:top w:val="none" w:sz="0" w:space="0" w:color="auto"/>
        <w:left w:val="none" w:sz="0" w:space="0" w:color="auto"/>
        <w:bottom w:val="none" w:sz="0" w:space="0" w:color="auto"/>
        <w:right w:val="none" w:sz="0" w:space="0" w:color="auto"/>
      </w:divBdr>
    </w:div>
    <w:div w:id="19280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179</Words>
  <Characters>1077</Characters>
  <Application>Microsoft Office Word</Application>
  <DocSecurity>0</DocSecurity>
  <Lines>8</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Agilent Technologies, Inc.</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Wojciech Łuczaj</dc:creator>
  <cp:lastModifiedBy>Wojciech Luczaj</cp:lastModifiedBy>
  <cp:revision>10</cp:revision>
  <cp:lastPrinted>2025-12-19T13:43:00Z</cp:lastPrinted>
  <dcterms:created xsi:type="dcterms:W3CDTF">2026-02-07T15:29:00Z</dcterms:created>
  <dcterms:modified xsi:type="dcterms:W3CDTF">2026-02-07T20:51:00Z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zotero-version="5.0.88"&gt;&lt;session id="Q3JXX98P"/&gt;&lt;style id="http://www.zotero.org/styles/elsevier-harvard" hasBibliography="1" bibliographyStyleHasBeenSet="1"/&gt;&lt;prefs&gt;&lt;pref name="fieldType" value="Field"/&gt;&lt;/prefs&gt;&lt;/data&gt;</vt:lpwstr>
  </property>
</Properties>
</file>